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2020" w14:textId="0742B0C3" w:rsidR="006B7CF1" w:rsidRPr="005F0642" w:rsidRDefault="006B7CF1">
      <w:pPr>
        <w:rPr>
          <w:rFonts w:ascii="Tahoma" w:hAnsi="Tahoma" w:cs="Tahoma"/>
          <w:sz w:val="22"/>
          <w:szCs w:val="22"/>
        </w:rPr>
      </w:pPr>
      <w:r w:rsidRPr="005F0642">
        <w:rPr>
          <w:rFonts w:ascii="Tahoma" w:hAnsi="Tahoma" w:cs="Tahoma"/>
          <w:noProof/>
          <w:sz w:val="22"/>
          <w:szCs w:val="22"/>
        </w:rPr>
        <w:drawing>
          <wp:anchor distT="0" distB="0" distL="114300" distR="114300" simplePos="0" relativeHeight="251659264" behindDoc="0" locked="0" layoutInCell="1" allowOverlap="1" wp14:anchorId="34627E3C" wp14:editId="61D820AA">
            <wp:simplePos x="0" y="0"/>
            <wp:positionH relativeFrom="column">
              <wp:posOffset>-701040</wp:posOffset>
            </wp:positionH>
            <wp:positionV relativeFrom="paragraph">
              <wp:posOffset>-702310</wp:posOffset>
            </wp:positionV>
            <wp:extent cx="1381125" cy="702651"/>
            <wp:effectExtent l="0" t="0" r="0" b="2540"/>
            <wp:wrapNone/>
            <wp:docPr id="885766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66501" name="Picture 8857665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702651"/>
                    </a:xfrm>
                    <a:prstGeom prst="rect">
                      <a:avLst/>
                    </a:prstGeom>
                  </pic:spPr>
                </pic:pic>
              </a:graphicData>
            </a:graphic>
            <wp14:sizeRelH relativeFrom="page">
              <wp14:pctWidth>0</wp14:pctWidth>
            </wp14:sizeRelH>
            <wp14:sizeRelV relativeFrom="page">
              <wp14:pctHeight>0</wp14:pctHeight>
            </wp14:sizeRelV>
          </wp:anchor>
        </w:drawing>
      </w:r>
    </w:p>
    <w:p w14:paraId="2EE38E7A" w14:textId="018A8C27" w:rsidR="009659EC" w:rsidRPr="00016474" w:rsidRDefault="009659EC" w:rsidP="008A7FE6">
      <w:pPr>
        <w:pStyle w:val="NoSpacing"/>
        <w:spacing w:after="360" w:line="276" w:lineRule="auto"/>
        <w:jc w:val="both"/>
        <w:rPr>
          <w:rFonts w:ascii="Tahoma" w:hAnsi="Tahoma" w:cs="Tahoma"/>
          <w:b/>
          <w:bCs/>
          <w:sz w:val="32"/>
          <w:szCs w:val="32"/>
        </w:rPr>
      </w:pPr>
      <w:r w:rsidRPr="00016474">
        <w:rPr>
          <w:rFonts w:ascii="Tahoma" w:hAnsi="Tahoma" w:cs="Tahoma"/>
          <w:b/>
          <w:bCs/>
          <w:sz w:val="32"/>
          <w:szCs w:val="32"/>
        </w:rPr>
        <w:t>Energy and Carbon Management</w:t>
      </w:r>
    </w:p>
    <w:p w14:paraId="6ADDB8E8" w14:textId="77777777"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The Group monitors and reports its greenhouse gas emissions in accordance with the GHG Protocol Corporate Accounting and Reporting Standard, covering emission sources over which it has operational control. This provides a consistent and transparent framework for measuring environmental performance and tracking progress toward sustainability objectives.</w:t>
      </w:r>
    </w:p>
    <w:p w14:paraId="570B8D46" w14:textId="77777777" w:rsidR="009659EC" w:rsidRPr="009659EC" w:rsidRDefault="009659EC" w:rsidP="008A7FE6">
      <w:pPr>
        <w:pStyle w:val="NoSpacing"/>
        <w:spacing w:after="120" w:line="276" w:lineRule="auto"/>
        <w:jc w:val="both"/>
        <w:rPr>
          <w:rFonts w:ascii="Tahoma" w:hAnsi="Tahoma" w:cs="Tahoma"/>
          <w:b/>
          <w:bCs/>
          <w:sz w:val="22"/>
          <w:szCs w:val="22"/>
        </w:rPr>
      </w:pPr>
    </w:p>
    <w:p w14:paraId="7B27FE6D" w14:textId="79E22E73" w:rsidR="009659EC" w:rsidRPr="009659EC" w:rsidRDefault="009659EC" w:rsidP="00345757">
      <w:pPr>
        <w:pStyle w:val="NoSpacing"/>
        <w:tabs>
          <w:tab w:val="right" w:pos="9026"/>
        </w:tabs>
        <w:spacing w:after="120" w:line="276" w:lineRule="auto"/>
        <w:jc w:val="both"/>
        <w:rPr>
          <w:rFonts w:ascii="Tahoma" w:hAnsi="Tahoma" w:cs="Tahoma"/>
          <w:b/>
          <w:bCs/>
          <w:sz w:val="22"/>
          <w:szCs w:val="22"/>
        </w:rPr>
      </w:pPr>
      <w:r w:rsidRPr="009659EC">
        <w:rPr>
          <w:rFonts w:ascii="Tahoma" w:hAnsi="Tahoma" w:cs="Tahoma"/>
          <w:b/>
          <w:bCs/>
          <w:sz w:val="22"/>
          <w:szCs w:val="22"/>
        </w:rPr>
        <w:t>The Group reports on the following emission categories:</w:t>
      </w:r>
      <w:r w:rsidR="00345757">
        <w:rPr>
          <w:rFonts w:ascii="Tahoma" w:hAnsi="Tahoma" w:cs="Tahoma"/>
          <w:b/>
          <w:bCs/>
          <w:sz w:val="22"/>
          <w:szCs w:val="22"/>
        </w:rPr>
        <w:tab/>
      </w:r>
    </w:p>
    <w:p w14:paraId="48589103" w14:textId="77777777"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Scope 1 (Direct Emissions): Emissions from the combustion of fuels and the operation of facilities under the Group’s control.</w:t>
      </w:r>
    </w:p>
    <w:p w14:paraId="45C78972" w14:textId="748421D6"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Scope 2 (Indirect Emissions): Emissions from purchased electricity consumed by the Group.</w:t>
      </w:r>
    </w:p>
    <w:p w14:paraId="12F0BB4D" w14:textId="77777777"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Scope 3 emissions, including those associated with vehicles and certain purchased utilities not captured within Scope 2, have not been included as they are currently assessed as immaterial to the Group’s overall carbon footprint.</w:t>
      </w:r>
    </w:p>
    <w:p w14:paraId="384E2721" w14:textId="77777777" w:rsidR="009659EC" w:rsidRPr="009659EC" w:rsidRDefault="009659EC" w:rsidP="008A7FE6">
      <w:pPr>
        <w:pStyle w:val="NoSpacing"/>
        <w:spacing w:after="120" w:line="276" w:lineRule="auto"/>
        <w:jc w:val="both"/>
        <w:rPr>
          <w:rFonts w:ascii="Tahoma" w:hAnsi="Tahoma" w:cs="Tahoma"/>
          <w:b/>
          <w:bCs/>
          <w:sz w:val="22"/>
          <w:szCs w:val="22"/>
        </w:rPr>
      </w:pPr>
    </w:p>
    <w:p w14:paraId="154BFBEF" w14:textId="5D175070" w:rsidR="009659EC" w:rsidRPr="009659EC" w:rsidRDefault="009659EC" w:rsidP="008A7FE6">
      <w:pPr>
        <w:pStyle w:val="NoSpacing"/>
        <w:spacing w:after="120" w:line="276" w:lineRule="auto"/>
        <w:jc w:val="both"/>
        <w:rPr>
          <w:rFonts w:ascii="Tahoma" w:hAnsi="Tahoma" w:cs="Tahoma"/>
          <w:b/>
          <w:bCs/>
          <w:sz w:val="22"/>
          <w:szCs w:val="22"/>
        </w:rPr>
      </w:pPr>
      <w:r w:rsidRPr="009659EC">
        <w:rPr>
          <w:rFonts w:ascii="Tahoma" w:hAnsi="Tahoma" w:cs="Tahoma"/>
          <w:b/>
          <w:bCs/>
          <w:sz w:val="22"/>
          <w:szCs w:val="22"/>
        </w:rPr>
        <w:t>Energy Consumption</w:t>
      </w:r>
    </w:p>
    <w:p w14:paraId="454D2263" w14:textId="7651C346"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The Group has achieved a substantial reduction in energy consumption over the reporting period. Total energy use decreased from 3,467,425 kWh in 2023 to 984,273 kWh in 2024, reflecting a significant improvement in operational efficiency.</w:t>
      </w:r>
    </w:p>
    <w:p w14:paraId="3B2D011D" w14:textId="77777777"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This reduction has been driven by targeted initiatives and structural changes within the business, including the disposal of energy-intensive operations and increased focus on efficient resource utilisation.</w:t>
      </w:r>
    </w:p>
    <w:p w14:paraId="48908482" w14:textId="77777777" w:rsidR="009659EC" w:rsidRPr="009659EC" w:rsidRDefault="009659EC" w:rsidP="008A7FE6">
      <w:pPr>
        <w:pStyle w:val="NoSpacing"/>
        <w:spacing w:after="120" w:line="276" w:lineRule="auto"/>
        <w:jc w:val="both"/>
        <w:rPr>
          <w:rFonts w:ascii="Tahoma" w:hAnsi="Tahoma" w:cs="Tahoma"/>
          <w:b/>
          <w:bCs/>
          <w:sz w:val="22"/>
          <w:szCs w:val="22"/>
        </w:rPr>
      </w:pPr>
    </w:p>
    <w:p w14:paraId="6BED051A" w14:textId="1F233572" w:rsidR="009659EC" w:rsidRPr="009659EC" w:rsidRDefault="009659EC" w:rsidP="008A7FE6">
      <w:pPr>
        <w:pStyle w:val="NoSpacing"/>
        <w:spacing w:after="120" w:line="276" w:lineRule="auto"/>
        <w:jc w:val="both"/>
        <w:rPr>
          <w:rFonts w:ascii="Tahoma" w:hAnsi="Tahoma" w:cs="Tahoma"/>
          <w:b/>
          <w:bCs/>
          <w:sz w:val="22"/>
          <w:szCs w:val="22"/>
        </w:rPr>
      </w:pPr>
      <w:r w:rsidRPr="009659EC">
        <w:rPr>
          <w:rFonts w:ascii="Tahoma" w:hAnsi="Tahoma" w:cs="Tahoma"/>
          <w:b/>
          <w:bCs/>
          <w:sz w:val="22"/>
          <w:szCs w:val="22"/>
        </w:rPr>
        <w:t>Carbon Emissions</w:t>
      </w:r>
    </w:p>
    <w:p w14:paraId="62EEFFA4" w14:textId="72FC19CB"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 xml:space="preserve">Total gross carbon emissions have reduced significantly from 976.60 tonnes </w:t>
      </w:r>
      <w:proofErr w:type="spellStart"/>
      <w:r w:rsidRPr="009678B0">
        <w:rPr>
          <w:rFonts w:ascii="Tahoma" w:hAnsi="Tahoma" w:cs="Tahoma"/>
          <w:sz w:val="22"/>
          <w:szCs w:val="22"/>
        </w:rPr>
        <w:t>CO₂e</w:t>
      </w:r>
      <w:proofErr w:type="spellEnd"/>
      <w:r w:rsidRPr="009678B0">
        <w:rPr>
          <w:rFonts w:ascii="Tahoma" w:hAnsi="Tahoma" w:cs="Tahoma"/>
          <w:sz w:val="22"/>
          <w:szCs w:val="22"/>
        </w:rPr>
        <w:t xml:space="preserve"> in 2023 to 202.01 tonnes </w:t>
      </w:r>
      <w:proofErr w:type="spellStart"/>
      <w:r w:rsidRPr="009678B0">
        <w:rPr>
          <w:rFonts w:ascii="Tahoma" w:hAnsi="Tahoma" w:cs="Tahoma"/>
          <w:sz w:val="22"/>
          <w:szCs w:val="22"/>
        </w:rPr>
        <w:t>CO₂e</w:t>
      </w:r>
      <w:proofErr w:type="spellEnd"/>
      <w:r w:rsidRPr="009678B0">
        <w:rPr>
          <w:rFonts w:ascii="Tahoma" w:hAnsi="Tahoma" w:cs="Tahoma"/>
          <w:sz w:val="22"/>
          <w:szCs w:val="22"/>
        </w:rPr>
        <w:t xml:space="preserve"> in 2024, representing a reduction of approximately 79%.</w:t>
      </w:r>
    </w:p>
    <w:p w14:paraId="05D22B65" w14:textId="77777777"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This decrease reflects both reduced energy consumption and the Group’s proactive approach to emissions management across its operations.</w:t>
      </w:r>
    </w:p>
    <w:p w14:paraId="6AD77BFC" w14:textId="77777777" w:rsidR="009659EC" w:rsidRPr="009659EC" w:rsidRDefault="009659EC" w:rsidP="008A7FE6">
      <w:pPr>
        <w:pStyle w:val="NoSpacing"/>
        <w:spacing w:after="120" w:line="276" w:lineRule="auto"/>
        <w:jc w:val="both"/>
        <w:rPr>
          <w:rFonts w:ascii="Tahoma" w:hAnsi="Tahoma" w:cs="Tahoma"/>
          <w:b/>
          <w:bCs/>
          <w:sz w:val="22"/>
          <w:szCs w:val="22"/>
        </w:rPr>
      </w:pPr>
    </w:p>
    <w:p w14:paraId="3F9CEEC3" w14:textId="65AD9807" w:rsidR="009659EC" w:rsidRPr="009659EC" w:rsidRDefault="009659EC" w:rsidP="008A7FE6">
      <w:pPr>
        <w:pStyle w:val="NoSpacing"/>
        <w:spacing w:after="120" w:line="276" w:lineRule="auto"/>
        <w:jc w:val="both"/>
        <w:rPr>
          <w:rFonts w:ascii="Tahoma" w:hAnsi="Tahoma" w:cs="Tahoma"/>
          <w:b/>
          <w:bCs/>
          <w:sz w:val="22"/>
          <w:szCs w:val="22"/>
        </w:rPr>
      </w:pPr>
      <w:r w:rsidRPr="009659EC">
        <w:rPr>
          <w:rFonts w:ascii="Tahoma" w:hAnsi="Tahoma" w:cs="Tahoma"/>
          <w:b/>
          <w:bCs/>
          <w:sz w:val="22"/>
          <w:szCs w:val="22"/>
        </w:rPr>
        <w:t>Carbon Intensity</w:t>
      </w:r>
    </w:p>
    <w:p w14:paraId="16B23C47" w14:textId="0AC56CD8"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 xml:space="preserve">The Group uses an intensity ratio (tonnes of </w:t>
      </w:r>
      <w:proofErr w:type="spellStart"/>
      <w:r w:rsidRPr="009678B0">
        <w:rPr>
          <w:rFonts w:ascii="Tahoma" w:hAnsi="Tahoma" w:cs="Tahoma"/>
          <w:sz w:val="22"/>
          <w:szCs w:val="22"/>
        </w:rPr>
        <w:t>CO₂e</w:t>
      </w:r>
      <w:proofErr w:type="spellEnd"/>
      <w:r w:rsidRPr="009678B0">
        <w:rPr>
          <w:rFonts w:ascii="Tahoma" w:hAnsi="Tahoma" w:cs="Tahoma"/>
          <w:sz w:val="22"/>
          <w:szCs w:val="22"/>
        </w:rPr>
        <w:t xml:space="preserve"> per £ million of revenue) to measure emissions efficiency relative to business output.</w:t>
      </w:r>
    </w:p>
    <w:p w14:paraId="4EBF1A81" w14:textId="77777777"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 xml:space="preserve">2024: 5.2 tonnes </w:t>
      </w:r>
      <w:proofErr w:type="spellStart"/>
      <w:r w:rsidRPr="009678B0">
        <w:rPr>
          <w:rFonts w:ascii="Tahoma" w:hAnsi="Tahoma" w:cs="Tahoma"/>
          <w:sz w:val="22"/>
          <w:szCs w:val="22"/>
        </w:rPr>
        <w:t>CO₂e</w:t>
      </w:r>
      <w:proofErr w:type="spellEnd"/>
      <w:r w:rsidRPr="009678B0">
        <w:rPr>
          <w:rFonts w:ascii="Tahoma" w:hAnsi="Tahoma" w:cs="Tahoma"/>
          <w:sz w:val="22"/>
          <w:szCs w:val="22"/>
        </w:rPr>
        <w:t xml:space="preserve"> / £m revenue</w:t>
      </w:r>
    </w:p>
    <w:p w14:paraId="15D017DD" w14:textId="77777777" w:rsid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 xml:space="preserve">2023: 26.0 tonnes </w:t>
      </w:r>
      <w:proofErr w:type="spellStart"/>
      <w:r w:rsidRPr="009678B0">
        <w:rPr>
          <w:rFonts w:ascii="Tahoma" w:hAnsi="Tahoma" w:cs="Tahoma"/>
          <w:sz w:val="22"/>
          <w:szCs w:val="22"/>
        </w:rPr>
        <w:t>CO₂e</w:t>
      </w:r>
      <w:proofErr w:type="spellEnd"/>
      <w:r w:rsidRPr="009678B0">
        <w:rPr>
          <w:rFonts w:ascii="Tahoma" w:hAnsi="Tahoma" w:cs="Tahoma"/>
          <w:sz w:val="22"/>
          <w:szCs w:val="22"/>
        </w:rPr>
        <w:t xml:space="preserve"> / £m revenue</w:t>
      </w:r>
    </w:p>
    <w:p w14:paraId="3DE628A8" w14:textId="5A3DF440"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lastRenderedPageBreak/>
        <w:t>This substantial improvement demonstrates the Group’s enhanced operational efficiency and reduced environmental impact per unit of revenue. The reduction is attributable to both emissions reduction initiatives and changes in the operational structure of the business.</w:t>
      </w:r>
    </w:p>
    <w:p w14:paraId="41B29D1B" w14:textId="77777777" w:rsidR="009659EC" w:rsidRPr="009659EC" w:rsidRDefault="009659EC" w:rsidP="008A7FE6">
      <w:pPr>
        <w:pStyle w:val="NoSpacing"/>
        <w:spacing w:after="120" w:line="276" w:lineRule="auto"/>
        <w:jc w:val="both"/>
        <w:rPr>
          <w:rFonts w:ascii="Tahoma" w:hAnsi="Tahoma" w:cs="Tahoma"/>
          <w:b/>
          <w:bCs/>
          <w:sz w:val="22"/>
          <w:szCs w:val="22"/>
        </w:rPr>
      </w:pPr>
    </w:p>
    <w:p w14:paraId="0A24F431" w14:textId="65AB4F3F" w:rsidR="009659EC" w:rsidRPr="00DA318F" w:rsidRDefault="009659EC" w:rsidP="008A7FE6">
      <w:pPr>
        <w:pStyle w:val="NoSpacing"/>
        <w:spacing w:after="120" w:line="276" w:lineRule="auto"/>
        <w:jc w:val="both"/>
        <w:rPr>
          <w:rFonts w:ascii="Tahoma" w:hAnsi="Tahoma" w:cs="Tahoma"/>
          <w:b/>
          <w:bCs/>
          <w:sz w:val="22"/>
          <w:szCs w:val="22"/>
        </w:rPr>
      </w:pPr>
      <w:r w:rsidRPr="009659EC">
        <w:rPr>
          <w:rFonts w:ascii="Tahoma" w:hAnsi="Tahoma" w:cs="Tahoma"/>
          <w:b/>
          <w:bCs/>
          <w:sz w:val="22"/>
          <w:szCs w:val="22"/>
        </w:rPr>
        <w:t>Energy Efficiency and Carbon Reduction Initiatives</w:t>
      </w:r>
    </w:p>
    <w:p w14:paraId="395963BD" w14:textId="43B434B4" w:rsidR="009659EC" w:rsidRPr="009678B0" w:rsidRDefault="009659EC" w:rsidP="008A7FE6">
      <w:pPr>
        <w:pStyle w:val="NoSpacing"/>
        <w:spacing w:after="120" w:line="276" w:lineRule="auto"/>
        <w:jc w:val="both"/>
        <w:rPr>
          <w:rFonts w:ascii="Tahoma" w:hAnsi="Tahoma" w:cs="Tahoma"/>
          <w:sz w:val="22"/>
          <w:szCs w:val="22"/>
        </w:rPr>
      </w:pPr>
      <w:r w:rsidRPr="009678B0">
        <w:rPr>
          <w:rFonts w:ascii="Tahoma" w:hAnsi="Tahoma" w:cs="Tahoma"/>
          <w:sz w:val="22"/>
          <w:szCs w:val="22"/>
        </w:rPr>
        <w:t>During the reporting period, the Group implemented a range of measures to improve energy efficiency and reduce emissions, including:</w:t>
      </w:r>
    </w:p>
    <w:p w14:paraId="35540F92" w14:textId="77777777" w:rsidR="009659EC" w:rsidRPr="009678B0" w:rsidRDefault="009659EC" w:rsidP="008A7FE6">
      <w:pPr>
        <w:pStyle w:val="NoSpacing"/>
        <w:numPr>
          <w:ilvl w:val="0"/>
          <w:numId w:val="2"/>
        </w:numPr>
        <w:spacing w:after="120" w:line="276" w:lineRule="auto"/>
        <w:jc w:val="both"/>
        <w:rPr>
          <w:rFonts w:ascii="Tahoma" w:hAnsi="Tahoma" w:cs="Tahoma"/>
          <w:sz w:val="22"/>
          <w:szCs w:val="22"/>
        </w:rPr>
      </w:pPr>
      <w:r w:rsidRPr="009678B0">
        <w:rPr>
          <w:rFonts w:ascii="Tahoma" w:hAnsi="Tahoma" w:cs="Tahoma"/>
          <w:sz w:val="22"/>
          <w:szCs w:val="22"/>
        </w:rPr>
        <w:t>Increased adoption of digital processes and systems, reducing reliance on energy-intensive activities</w:t>
      </w:r>
    </w:p>
    <w:p w14:paraId="5E72DE9E" w14:textId="5356BE10" w:rsidR="009678B0" w:rsidRPr="009678B0" w:rsidRDefault="009659EC" w:rsidP="008A7FE6">
      <w:pPr>
        <w:pStyle w:val="NoSpacing"/>
        <w:numPr>
          <w:ilvl w:val="0"/>
          <w:numId w:val="2"/>
        </w:numPr>
        <w:spacing w:after="120" w:line="276" w:lineRule="auto"/>
        <w:jc w:val="both"/>
        <w:rPr>
          <w:rFonts w:ascii="Tahoma" w:hAnsi="Tahoma" w:cs="Tahoma"/>
          <w:sz w:val="22"/>
          <w:szCs w:val="22"/>
        </w:rPr>
      </w:pPr>
      <w:r w:rsidRPr="009678B0">
        <w:rPr>
          <w:rFonts w:ascii="Tahoma" w:hAnsi="Tahoma" w:cs="Tahoma"/>
          <w:sz w:val="22"/>
          <w:szCs w:val="22"/>
        </w:rPr>
        <w:t>Ongoing monitoring and management of energy consumption across all operations</w:t>
      </w:r>
    </w:p>
    <w:p w14:paraId="71C2973D" w14:textId="38973CA9" w:rsidR="009659EC" w:rsidRPr="009D7581" w:rsidRDefault="009659EC" w:rsidP="008A7FE6">
      <w:pPr>
        <w:pStyle w:val="NoSpacing"/>
        <w:numPr>
          <w:ilvl w:val="0"/>
          <w:numId w:val="2"/>
        </w:numPr>
        <w:spacing w:after="120" w:line="276" w:lineRule="auto"/>
        <w:jc w:val="both"/>
        <w:rPr>
          <w:rFonts w:ascii="Tahoma" w:hAnsi="Tahoma" w:cs="Tahoma"/>
          <w:sz w:val="22"/>
          <w:szCs w:val="22"/>
        </w:rPr>
      </w:pPr>
      <w:r w:rsidRPr="009D7581">
        <w:rPr>
          <w:rFonts w:ascii="Tahoma" w:hAnsi="Tahoma" w:cs="Tahoma"/>
          <w:sz w:val="22"/>
          <w:szCs w:val="22"/>
        </w:rPr>
        <w:t>Strategic review and optimisation of operational assets</w:t>
      </w:r>
    </w:p>
    <w:p w14:paraId="5130E1EA" w14:textId="77777777" w:rsidR="009659EC" w:rsidRPr="009D7581" w:rsidRDefault="009659EC" w:rsidP="008A7FE6">
      <w:pPr>
        <w:pStyle w:val="NoSpacing"/>
        <w:spacing w:after="120" w:line="276" w:lineRule="auto"/>
        <w:jc w:val="both"/>
        <w:rPr>
          <w:rFonts w:ascii="Tahoma" w:hAnsi="Tahoma" w:cs="Tahoma"/>
          <w:sz w:val="22"/>
          <w:szCs w:val="22"/>
        </w:rPr>
      </w:pPr>
      <w:r w:rsidRPr="009D7581">
        <w:rPr>
          <w:rFonts w:ascii="Tahoma" w:hAnsi="Tahoma" w:cs="Tahoma"/>
          <w:sz w:val="22"/>
          <w:szCs w:val="22"/>
        </w:rPr>
        <w:t>These actions form part of the Group’s broader commitment to sustainability and its transition towards a net zero future.</w:t>
      </w:r>
    </w:p>
    <w:p w14:paraId="5B57B76E" w14:textId="77777777" w:rsidR="009659EC" w:rsidRPr="009659EC" w:rsidRDefault="009659EC" w:rsidP="008A7FE6">
      <w:pPr>
        <w:pStyle w:val="NoSpacing"/>
        <w:spacing w:after="120" w:line="276" w:lineRule="auto"/>
        <w:jc w:val="both"/>
        <w:rPr>
          <w:rFonts w:ascii="Tahoma" w:hAnsi="Tahoma" w:cs="Tahoma"/>
          <w:b/>
          <w:bCs/>
          <w:sz w:val="22"/>
          <w:szCs w:val="22"/>
        </w:rPr>
      </w:pPr>
    </w:p>
    <w:p w14:paraId="55AF9482" w14:textId="2E130CED" w:rsidR="009659EC" w:rsidRPr="00DA318F" w:rsidRDefault="009659EC" w:rsidP="008A7FE6">
      <w:pPr>
        <w:pStyle w:val="NoSpacing"/>
        <w:spacing w:after="120" w:line="276" w:lineRule="auto"/>
        <w:jc w:val="both"/>
        <w:rPr>
          <w:rFonts w:ascii="Tahoma" w:hAnsi="Tahoma" w:cs="Tahoma"/>
          <w:b/>
          <w:bCs/>
          <w:sz w:val="22"/>
          <w:szCs w:val="22"/>
        </w:rPr>
      </w:pPr>
      <w:r w:rsidRPr="009659EC">
        <w:rPr>
          <w:rFonts w:ascii="Tahoma" w:hAnsi="Tahoma" w:cs="Tahoma"/>
          <w:b/>
          <w:bCs/>
          <w:sz w:val="22"/>
          <w:szCs w:val="22"/>
        </w:rPr>
        <w:t>Future Commitments</w:t>
      </w:r>
    </w:p>
    <w:p w14:paraId="19BBA29D" w14:textId="1A2D1559" w:rsidR="009659EC" w:rsidRPr="009D7581" w:rsidRDefault="009659EC" w:rsidP="008A7FE6">
      <w:pPr>
        <w:pStyle w:val="NoSpacing"/>
        <w:spacing w:after="120" w:line="276" w:lineRule="auto"/>
        <w:jc w:val="both"/>
        <w:rPr>
          <w:rFonts w:ascii="Tahoma" w:hAnsi="Tahoma" w:cs="Tahoma"/>
          <w:sz w:val="22"/>
          <w:szCs w:val="22"/>
        </w:rPr>
      </w:pPr>
      <w:r w:rsidRPr="009D7581">
        <w:rPr>
          <w:rFonts w:ascii="Tahoma" w:hAnsi="Tahoma" w:cs="Tahoma"/>
          <w:sz w:val="22"/>
          <w:szCs w:val="22"/>
        </w:rPr>
        <w:t>The Group is committed to continuous improvement in environmental performance and will:</w:t>
      </w:r>
    </w:p>
    <w:p w14:paraId="4E5A1170" w14:textId="77777777" w:rsidR="009659EC" w:rsidRPr="009D7581" w:rsidRDefault="009659EC" w:rsidP="008A7FE6">
      <w:pPr>
        <w:pStyle w:val="NoSpacing"/>
        <w:numPr>
          <w:ilvl w:val="0"/>
          <w:numId w:val="2"/>
        </w:numPr>
        <w:spacing w:after="120" w:line="276" w:lineRule="auto"/>
        <w:jc w:val="both"/>
        <w:rPr>
          <w:rFonts w:ascii="Tahoma" w:hAnsi="Tahoma" w:cs="Tahoma"/>
          <w:sz w:val="22"/>
          <w:szCs w:val="22"/>
        </w:rPr>
      </w:pPr>
      <w:r w:rsidRPr="009D7581">
        <w:rPr>
          <w:rFonts w:ascii="Tahoma" w:hAnsi="Tahoma" w:cs="Tahoma"/>
          <w:sz w:val="22"/>
          <w:szCs w:val="22"/>
        </w:rPr>
        <w:t>Continue to invest in energy efficiency initiatives throughout 2025 and beyond</w:t>
      </w:r>
    </w:p>
    <w:p w14:paraId="705BDC90" w14:textId="77777777" w:rsidR="009659EC" w:rsidRPr="009D7581" w:rsidRDefault="009659EC" w:rsidP="008A7FE6">
      <w:pPr>
        <w:pStyle w:val="NoSpacing"/>
        <w:numPr>
          <w:ilvl w:val="0"/>
          <w:numId w:val="2"/>
        </w:numPr>
        <w:spacing w:after="120" w:line="276" w:lineRule="auto"/>
        <w:jc w:val="both"/>
        <w:rPr>
          <w:rFonts w:ascii="Tahoma" w:hAnsi="Tahoma" w:cs="Tahoma"/>
          <w:sz w:val="22"/>
          <w:szCs w:val="22"/>
        </w:rPr>
      </w:pPr>
      <w:r w:rsidRPr="009D7581">
        <w:rPr>
          <w:rFonts w:ascii="Tahoma" w:hAnsi="Tahoma" w:cs="Tahoma"/>
          <w:sz w:val="22"/>
          <w:szCs w:val="22"/>
        </w:rPr>
        <w:t>Further develop its emissions monitoring and reduction strategies</w:t>
      </w:r>
    </w:p>
    <w:p w14:paraId="0F296937" w14:textId="77777777" w:rsidR="009659EC" w:rsidRPr="009D7581" w:rsidRDefault="009659EC" w:rsidP="008A7FE6">
      <w:pPr>
        <w:pStyle w:val="NoSpacing"/>
        <w:numPr>
          <w:ilvl w:val="0"/>
          <w:numId w:val="2"/>
        </w:numPr>
        <w:spacing w:after="120" w:line="276" w:lineRule="auto"/>
        <w:jc w:val="both"/>
        <w:rPr>
          <w:rFonts w:ascii="Tahoma" w:hAnsi="Tahoma" w:cs="Tahoma"/>
          <w:sz w:val="22"/>
          <w:szCs w:val="22"/>
        </w:rPr>
      </w:pPr>
      <w:r w:rsidRPr="009D7581">
        <w:rPr>
          <w:rFonts w:ascii="Tahoma" w:hAnsi="Tahoma" w:cs="Tahoma"/>
          <w:sz w:val="22"/>
          <w:szCs w:val="22"/>
        </w:rPr>
        <w:t>Align activities with its Corporate Social Responsibility (CSR) Policy Statement</w:t>
      </w:r>
    </w:p>
    <w:p w14:paraId="19F48EB0" w14:textId="26C61398" w:rsidR="00124253" w:rsidRPr="00016474" w:rsidRDefault="009659EC" w:rsidP="008A7FE6">
      <w:pPr>
        <w:pStyle w:val="NoSpacing"/>
        <w:numPr>
          <w:ilvl w:val="0"/>
          <w:numId w:val="2"/>
        </w:numPr>
        <w:spacing w:after="120" w:line="276" w:lineRule="auto"/>
        <w:jc w:val="both"/>
        <w:rPr>
          <w:rFonts w:ascii="Tahoma" w:hAnsi="Tahoma" w:cs="Tahoma"/>
          <w:sz w:val="22"/>
          <w:szCs w:val="22"/>
        </w:rPr>
      </w:pPr>
      <w:r w:rsidRPr="00016474">
        <w:rPr>
          <w:rFonts w:ascii="Tahoma" w:hAnsi="Tahoma" w:cs="Tahoma"/>
          <w:sz w:val="22"/>
          <w:szCs w:val="22"/>
        </w:rPr>
        <w:t>Progress its long-term objective of achieving net zero emissions</w:t>
      </w:r>
    </w:p>
    <w:sectPr w:rsidR="00124253" w:rsidRPr="0001647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1F39" w14:textId="77777777" w:rsidR="00821D03" w:rsidRDefault="00821D03" w:rsidP="005F0642">
      <w:pPr>
        <w:spacing w:after="0" w:line="240" w:lineRule="auto"/>
      </w:pPr>
      <w:r>
        <w:separator/>
      </w:r>
    </w:p>
  </w:endnote>
  <w:endnote w:type="continuationSeparator" w:id="0">
    <w:p w14:paraId="1105C444" w14:textId="77777777" w:rsidR="00821D03" w:rsidRDefault="00821D03" w:rsidP="005F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931762"/>
      <w:docPartObj>
        <w:docPartGallery w:val="Page Numbers (Bottom of Page)"/>
        <w:docPartUnique/>
      </w:docPartObj>
    </w:sdtPr>
    <w:sdtEndPr>
      <w:rPr>
        <w:noProof/>
      </w:rPr>
    </w:sdtEndPr>
    <w:sdtContent>
      <w:p w14:paraId="53E605ED" w14:textId="323B2C64" w:rsidR="00391043" w:rsidRDefault="003910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3A6DC" w14:textId="224D6F42" w:rsidR="005F0642" w:rsidRPr="00391043" w:rsidRDefault="005F0642" w:rsidP="00391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799D" w14:textId="77777777" w:rsidR="00821D03" w:rsidRDefault="00821D03" w:rsidP="005F0642">
      <w:pPr>
        <w:spacing w:after="0" w:line="240" w:lineRule="auto"/>
      </w:pPr>
      <w:r>
        <w:separator/>
      </w:r>
    </w:p>
  </w:footnote>
  <w:footnote w:type="continuationSeparator" w:id="0">
    <w:p w14:paraId="41333479" w14:textId="77777777" w:rsidR="00821D03" w:rsidRDefault="00821D03" w:rsidP="005F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B655" w14:textId="77777777" w:rsidR="00391043" w:rsidRPr="005F0642" w:rsidRDefault="00391043" w:rsidP="00391043">
    <w:pPr>
      <w:pStyle w:val="Footer"/>
      <w:jc w:val="right"/>
      <w:rPr>
        <w:rFonts w:ascii="Tahoma" w:hAnsi="Tahoma" w:cs="Tahoma"/>
        <w:sz w:val="20"/>
        <w:szCs w:val="20"/>
      </w:rPr>
    </w:pPr>
    <w:r>
      <w:tab/>
    </w:r>
    <w:r w:rsidRPr="005F0642">
      <w:rPr>
        <w:rFonts w:ascii="Tahoma" w:hAnsi="Tahoma" w:cs="Tahoma"/>
        <w:sz w:val="20"/>
        <w:szCs w:val="20"/>
      </w:rPr>
      <w:t xml:space="preserve">Authorised Date: 17 Apr </w:t>
    </w:r>
    <w:r>
      <w:rPr>
        <w:rFonts w:ascii="Tahoma" w:hAnsi="Tahoma" w:cs="Tahoma"/>
        <w:sz w:val="20"/>
        <w:szCs w:val="20"/>
      </w:rPr>
      <w:t>20</w:t>
    </w:r>
    <w:r w:rsidRPr="005F0642">
      <w:rPr>
        <w:rFonts w:ascii="Tahoma" w:hAnsi="Tahoma" w:cs="Tahoma"/>
        <w:sz w:val="20"/>
        <w:szCs w:val="20"/>
      </w:rPr>
      <w:t>26</w:t>
    </w:r>
  </w:p>
  <w:p w14:paraId="5D77114D" w14:textId="7A0F9E63" w:rsidR="00391043" w:rsidRDefault="00391043" w:rsidP="00391043">
    <w:pPr>
      <w:pStyle w:val="Header"/>
      <w:tabs>
        <w:tab w:val="clear" w:pos="4513"/>
        <w:tab w:val="clear" w:pos="9026"/>
        <w:tab w:val="left" w:pos="7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47BC3"/>
    <w:multiLevelType w:val="hybridMultilevel"/>
    <w:tmpl w:val="6876D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82F5026"/>
    <w:multiLevelType w:val="hybridMultilevel"/>
    <w:tmpl w:val="2C34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8382244">
    <w:abstractNumId w:val="0"/>
  </w:num>
  <w:num w:numId="2" w16cid:durableId="172687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F1"/>
    <w:rsid w:val="00016474"/>
    <w:rsid w:val="000F3CA5"/>
    <w:rsid w:val="00101ED2"/>
    <w:rsid w:val="00124253"/>
    <w:rsid w:val="00345757"/>
    <w:rsid w:val="00391043"/>
    <w:rsid w:val="003E15A5"/>
    <w:rsid w:val="0051149E"/>
    <w:rsid w:val="005F0642"/>
    <w:rsid w:val="006B7CF1"/>
    <w:rsid w:val="007845DB"/>
    <w:rsid w:val="00821D03"/>
    <w:rsid w:val="008A7FE6"/>
    <w:rsid w:val="009659EC"/>
    <w:rsid w:val="009678B0"/>
    <w:rsid w:val="009D7581"/>
    <w:rsid w:val="009F46E5"/>
    <w:rsid w:val="00BD2304"/>
    <w:rsid w:val="00DA3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F23F"/>
  <w15:chartTrackingRefBased/>
  <w15:docId w15:val="{D4D030CA-FC88-4B9B-B1BB-7811A457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CF1"/>
    <w:rPr>
      <w:rFonts w:eastAsiaTheme="majorEastAsia" w:cstheme="majorBidi"/>
      <w:color w:val="272727" w:themeColor="text1" w:themeTint="D8"/>
    </w:rPr>
  </w:style>
  <w:style w:type="paragraph" w:styleId="Title">
    <w:name w:val="Title"/>
    <w:basedOn w:val="Normal"/>
    <w:next w:val="Normal"/>
    <w:link w:val="TitleChar"/>
    <w:uiPriority w:val="10"/>
    <w:qFormat/>
    <w:rsid w:val="006B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CF1"/>
    <w:pPr>
      <w:spacing w:before="160"/>
      <w:jc w:val="center"/>
    </w:pPr>
    <w:rPr>
      <w:i/>
      <w:iCs/>
      <w:color w:val="404040" w:themeColor="text1" w:themeTint="BF"/>
    </w:rPr>
  </w:style>
  <w:style w:type="character" w:customStyle="1" w:styleId="QuoteChar">
    <w:name w:val="Quote Char"/>
    <w:basedOn w:val="DefaultParagraphFont"/>
    <w:link w:val="Quote"/>
    <w:uiPriority w:val="29"/>
    <w:rsid w:val="006B7CF1"/>
    <w:rPr>
      <w:i/>
      <w:iCs/>
      <w:color w:val="404040" w:themeColor="text1" w:themeTint="BF"/>
    </w:rPr>
  </w:style>
  <w:style w:type="paragraph" w:styleId="ListParagraph">
    <w:name w:val="List Paragraph"/>
    <w:basedOn w:val="Normal"/>
    <w:uiPriority w:val="34"/>
    <w:qFormat/>
    <w:rsid w:val="006B7CF1"/>
    <w:pPr>
      <w:ind w:left="720"/>
      <w:contextualSpacing/>
    </w:pPr>
  </w:style>
  <w:style w:type="character" w:styleId="IntenseEmphasis">
    <w:name w:val="Intense Emphasis"/>
    <w:basedOn w:val="DefaultParagraphFont"/>
    <w:uiPriority w:val="21"/>
    <w:qFormat/>
    <w:rsid w:val="006B7CF1"/>
    <w:rPr>
      <w:i/>
      <w:iCs/>
      <w:color w:val="0F4761" w:themeColor="accent1" w:themeShade="BF"/>
    </w:rPr>
  </w:style>
  <w:style w:type="paragraph" w:styleId="IntenseQuote">
    <w:name w:val="Intense Quote"/>
    <w:basedOn w:val="Normal"/>
    <w:next w:val="Normal"/>
    <w:link w:val="IntenseQuoteChar"/>
    <w:uiPriority w:val="30"/>
    <w:qFormat/>
    <w:rsid w:val="006B7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CF1"/>
    <w:rPr>
      <w:i/>
      <w:iCs/>
      <w:color w:val="0F4761" w:themeColor="accent1" w:themeShade="BF"/>
    </w:rPr>
  </w:style>
  <w:style w:type="character" w:styleId="IntenseReference">
    <w:name w:val="Intense Reference"/>
    <w:basedOn w:val="DefaultParagraphFont"/>
    <w:uiPriority w:val="32"/>
    <w:qFormat/>
    <w:rsid w:val="006B7CF1"/>
    <w:rPr>
      <w:b/>
      <w:bCs/>
      <w:smallCaps/>
      <w:color w:val="0F4761" w:themeColor="accent1" w:themeShade="BF"/>
      <w:spacing w:val="5"/>
    </w:rPr>
  </w:style>
  <w:style w:type="paragraph" w:styleId="Header">
    <w:name w:val="header"/>
    <w:basedOn w:val="Normal"/>
    <w:link w:val="HeaderChar"/>
    <w:uiPriority w:val="99"/>
    <w:unhideWhenUsed/>
    <w:rsid w:val="005F0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42"/>
  </w:style>
  <w:style w:type="paragraph" w:styleId="Footer">
    <w:name w:val="footer"/>
    <w:basedOn w:val="Normal"/>
    <w:link w:val="FooterChar"/>
    <w:uiPriority w:val="99"/>
    <w:unhideWhenUsed/>
    <w:rsid w:val="005F0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42"/>
  </w:style>
  <w:style w:type="paragraph" w:styleId="NoSpacing">
    <w:name w:val="No Spacing"/>
    <w:uiPriority w:val="1"/>
    <w:qFormat/>
    <w:rsid w:val="000F3CA5"/>
    <w:pPr>
      <w:suppressAutoHyphens/>
      <w:autoSpaceDN w:val="0"/>
      <w:spacing w:after="0" w:line="240" w:lineRule="auto"/>
    </w:pPr>
    <w:rPr>
      <w:rFonts w:ascii="Aptos" w:eastAsia="Aptos" w:hAnsi="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2681</Characters>
  <Application>Microsoft Office Word</Application>
  <DocSecurity>0</DocSecurity>
  <Lines>54</Lines>
  <Paragraphs>29</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Mellor</dc:creator>
  <cp:keywords/>
  <dc:description/>
  <cp:lastModifiedBy>Polly Mellor</cp:lastModifiedBy>
  <cp:revision>12</cp:revision>
  <dcterms:created xsi:type="dcterms:W3CDTF">2026-04-17T11:42:00Z</dcterms:created>
  <dcterms:modified xsi:type="dcterms:W3CDTF">2026-04-17T14:19:00Z</dcterms:modified>
</cp:coreProperties>
</file>